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sz w:val="30"/>
          <w:szCs w:val="30"/>
        </w:rPr>
      </w:pPr>
      <w:r>
        <w:rPr>
          <w:rFonts w:ascii="Times New Roman" w:hAnsi="Times New Roman" w:cs="Times New Roman"/>
          <w:sz w:val="30"/>
          <w:szCs w:val="30"/>
        </w:rPr>
        <w:t>附件</w:t>
      </w:r>
      <w:r>
        <w:rPr>
          <w:rFonts w:hint="eastAsia" w:ascii="Times New Roman" w:hAnsi="Times New Roman" w:cs="Times New Roman"/>
          <w:sz w:val="30"/>
          <w:szCs w:val="30"/>
        </w:rPr>
        <w:t>2</w:t>
      </w:r>
    </w:p>
    <w:p>
      <w:pPr>
        <w:pStyle w:val="4"/>
        <w:jc w:val="center"/>
        <w:rPr>
          <w:rFonts w:eastAsia="黑体"/>
        </w:rPr>
      </w:pPr>
      <w:r>
        <w:rPr>
          <w:rFonts w:hint="eastAsia" w:ascii="方正公文小标宋" w:hAnsi="方正公文小标宋" w:eastAsia="方正公文小标宋" w:cs="方正公文小标宋"/>
          <w:sz w:val="40"/>
          <w:szCs w:val="40"/>
        </w:rPr>
        <w:t>学术学位授权点抽评要素</w:t>
      </w:r>
    </w:p>
    <w:tbl>
      <w:tblPr>
        <w:tblStyle w:val="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872"/>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490" w:type="dxa"/>
            <w:vAlign w:val="center"/>
          </w:tcPr>
          <w:p>
            <w:pPr>
              <w:snapToGrid w:val="0"/>
              <w:jc w:val="center"/>
              <w:rPr>
                <w:rFonts w:hint="eastAsia" w:ascii="仿宋" w:hAnsi="仿宋" w:eastAsia="仿宋" w:cs="仿宋"/>
                <w:b/>
                <w:bCs/>
                <w:sz w:val="28"/>
                <w:szCs w:val="28"/>
              </w:rPr>
            </w:pPr>
            <w:r>
              <w:rPr>
                <w:rFonts w:hint="eastAsia" w:ascii="仿宋" w:hAnsi="仿宋" w:eastAsia="仿宋" w:cs="仿宋"/>
                <w:b/>
                <w:bCs/>
                <w:sz w:val="28"/>
                <w:szCs w:val="28"/>
              </w:rPr>
              <w:t>一级要素</w:t>
            </w:r>
          </w:p>
        </w:tc>
        <w:tc>
          <w:tcPr>
            <w:tcW w:w="1872" w:type="dxa"/>
            <w:vAlign w:val="center"/>
          </w:tcPr>
          <w:p>
            <w:pPr>
              <w:snapToGrid w:val="0"/>
              <w:jc w:val="center"/>
              <w:rPr>
                <w:rFonts w:hint="eastAsia" w:ascii="仿宋" w:hAnsi="仿宋" w:eastAsia="仿宋" w:cs="仿宋"/>
                <w:b/>
                <w:bCs/>
                <w:sz w:val="28"/>
                <w:szCs w:val="28"/>
              </w:rPr>
            </w:pPr>
            <w:r>
              <w:rPr>
                <w:rFonts w:hint="eastAsia" w:ascii="仿宋" w:hAnsi="仿宋" w:eastAsia="仿宋" w:cs="仿宋"/>
                <w:b/>
                <w:bCs/>
                <w:sz w:val="28"/>
                <w:szCs w:val="28"/>
              </w:rPr>
              <w:t>二级要素</w:t>
            </w:r>
          </w:p>
        </w:tc>
        <w:tc>
          <w:tcPr>
            <w:tcW w:w="6030" w:type="dxa"/>
            <w:vAlign w:val="center"/>
          </w:tcPr>
          <w:p>
            <w:pPr>
              <w:snapToGrid w:val="0"/>
              <w:jc w:val="center"/>
              <w:rPr>
                <w:rFonts w:hint="eastAsia" w:ascii="仿宋" w:hAnsi="仿宋" w:eastAsia="仿宋" w:cs="仿宋"/>
                <w:b/>
                <w:bCs/>
                <w:sz w:val="28"/>
                <w:szCs w:val="28"/>
              </w:rPr>
            </w:pPr>
            <w:r>
              <w:rPr>
                <w:rFonts w:hint="eastAsia" w:ascii="仿宋" w:hAnsi="仿宋" w:eastAsia="仿宋" w:cs="仿宋"/>
                <w:b/>
                <w:bCs/>
                <w:sz w:val="28"/>
                <w:szCs w:val="2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restart"/>
            <w:vAlign w:val="center"/>
          </w:tcPr>
          <w:p>
            <w:pPr>
              <w:snapToGrid w:val="0"/>
              <w:rPr>
                <w:rFonts w:hint="eastAsia" w:ascii="仿宋" w:hAnsi="仿宋" w:eastAsia="仿宋" w:cs="仿宋"/>
                <w:sz w:val="21"/>
                <w:szCs w:val="21"/>
              </w:rPr>
            </w:pPr>
            <w:r>
              <w:rPr>
                <w:rFonts w:hint="eastAsia" w:ascii="仿宋" w:hAnsi="仿宋" w:eastAsia="仿宋" w:cs="仿宋"/>
                <w:sz w:val="21"/>
                <w:szCs w:val="21"/>
              </w:rPr>
              <w:t>1目标与标准</w:t>
            </w: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1.1培养目标</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本学位点培养研究生的目标定位。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1.2学位标准</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符合本学科特点，与本单位办学定位及特色相一致的学位授予质量标准的制定及执行情况。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restart"/>
            <w:vAlign w:val="center"/>
          </w:tcPr>
          <w:p>
            <w:pPr>
              <w:snapToGrid w:val="0"/>
              <w:rPr>
                <w:rFonts w:hint="eastAsia" w:ascii="仿宋" w:hAnsi="仿宋" w:eastAsia="仿宋" w:cs="仿宋"/>
              </w:rPr>
            </w:pPr>
          </w:p>
          <w:p>
            <w:pPr>
              <w:rPr>
                <w:rFonts w:hint="eastAsia" w:ascii="仿宋" w:hAnsi="仿宋" w:eastAsia="仿宋" w:cs="仿宋"/>
              </w:rPr>
            </w:pPr>
            <w:r>
              <w:rPr>
                <w:rFonts w:hint="eastAsia" w:ascii="仿宋" w:hAnsi="仿宋" w:eastAsia="仿宋" w:cs="仿宋"/>
                <w:sz w:val="21"/>
                <w:szCs w:val="21"/>
              </w:rPr>
              <w:t>2基本条件</w:t>
            </w: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2.1培养方向</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本学位点的主要培养方向简介。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vAlign w:val="center"/>
          </w:tcPr>
          <w:p>
            <w:pPr>
              <w:rPr>
                <w:rFonts w:hint="eastAsia" w:ascii="仿宋" w:hAnsi="仿宋" w:eastAsia="仿宋" w:cs="仿宋"/>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2.2师资队伍</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各培养方向带头人与学术骨干、主要师资队伍情况。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2.3科学研究</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本学位点近5年已完成的主要科研项目以及在研项目情况。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2.4教学科研支撑</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本学位点支撑研究生学习、科研的平台情况。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zh-CN"/>
              </w:rPr>
              <w:t>.</w:t>
            </w:r>
            <w:r>
              <w:rPr>
                <w:rFonts w:hint="eastAsia" w:ascii="仿宋" w:hAnsi="仿宋" w:eastAsia="仿宋" w:cs="仿宋"/>
                <w:sz w:val="21"/>
                <w:szCs w:val="21"/>
              </w:rPr>
              <w:t>5</w:t>
            </w:r>
            <w:r>
              <w:rPr>
                <w:rFonts w:hint="eastAsia" w:ascii="仿宋" w:hAnsi="仿宋" w:eastAsia="仿宋" w:cs="仿宋"/>
                <w:sz w:val="21"/>
                <w:szCs w:val="21"/>
                <w:lang w:val="zh-CN"/>
              </w:rPr>
              <w:t>奖助体系</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本学位点研究生奖助体系的制度建设、奖助水平、覆盖面等情况。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restart"/>
            <w:shd w:val="clear" w:color="auto" w:fill="auto"/>
            <w:vAlign w:val="center"/>
          </w:tcPr>
          <w:p>
            <w:pPr>
              <w:snapToGrid w:val="0"/>
              <w:rPr>
                <w:rFonts w:hint="eastAsia" w:ascii="仿宋" w:hAnsi="仿宋" w:eastAsia="仿宋" w:cs="仿宋"/>
                <w:sz w:val="21"/>
                <w:szCs w:val="21"/>
              </w:rPr>
            </w:pPr>
            <w:r>
              <w:rPr>
                <w:rFonts w:hint="eastAsia" w:ascii="仿宋" w:hAnsi="仿宋" w:eastAsia="仿宋" w:cs="仿宋"/>
                <w:sz w:val="21"/>
                <w:szCs w:val="21"/>
              </w:rPr>
              <w:t>3人才培养</w:t>
            </w: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zh-CN"/>
              </w:rPr>
              <w:t>.1招生选拔</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lang w:val="zh-CN"/>
              </w:rPr>
              <w:t>学位授权点研究生报考数量、录取比例、录取人数、生源结构情况，以及为保证生源质量采取的措施。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shd w:val="clear" w:color="auto" w:fill="auto"/>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3.2思政教育</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思想政治理论课开设、课程思政、研究生辅导员队伍建设、研究生党建工作等情况。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shd w:val="clear" w:color="auto" w:fill="auto"/>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zh-CN"/>
              </w:rPr>
              <w:t>.</w:t>
            </w:r>
            <w:r>
              <w:rPr>
                <w:rFonts w:hint="eastAsia" w:ascii="仿宋" w:hAnsi="仿宋" w:eastAsia="仿宋" w:cs="仿宋"/>
                <w:sz w:val="21"/>
                <w:szCs w:val="21"/>
              </w:rPr>
              <w:t>3</w:t>
            </w:r>
            <w:r>
              <w:rPr>
                <w:rFonts w:hint="eastAsia" w:ascii="仿宋" w:hAnsi="仿宋" w:eastAsia="仿宋" w:cs="仿宋"/>
                <w:sz w:val="21"/>
                <w:szCs w:val="21"/>
                <w:lang w:val="zh-CN"/>
              </w:rPr>
              <w:t>课程教学</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本学位点开设的核心课程及主讲教师。课程教学质量和持续改进机制，教材建设情况。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shd w:val="clear" w:color="auto" w:fill="auto"/>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zh-CN"/>
              </w:rPr>
              <w:t>.</w:t>
            </w:r>
            <w:r>
              <w:rPr>
                <w:rFonts w:hint="eastAsia" w:ascii="仿宋" w:hAnsi="仿宋" w:eastAsia="仿宋" w:cs="仿宋"/>
                <w:sz w:val="21"/>
                <w:szCs w:val="21"/>
              </w:rPr>
              <w:t>4</w:t>
            </w:r>
            <w:r>
              <w:rPr>
                <w:rFonts w:hint="eastAsia" w:ascii="仿宋" w:hAnsi="仿宋" w:eastAsia="仿宋" w:cs="仿宋"/>
                <w:sz w:val="21"/>
                <w:szCs w:val="21"/>
                <w:lang w:val="zh-CN"/>
              </w:rPr>
              <w:t>导师指导</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导师队伍的选聘、培训、考核情况，导师指导研究生的制度要求和执行情况，博士生导师岗位管理制度建设和落实情况。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shd w:val="clear" w:color="auto" w:fill="auto"/>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lang w:val="zh-CN"/>
              </w:rPr>
            </w:pPr>
            <w:r>
              <w:rPr>
                <w:rFonts w:hint="eastAsia" w:ascii="仿宋" w:hAnsi="仿宋" w:eastAsia="仿宋" w:cs="仿宋"/>
                <w:sz w:val="21"/>
                <w:szCs w:val="21"/>
              </w:rPr>
              <w:t>3</w:t>
            </w:r>
            <w:r>
              <w:rPr>
                <w:rFonts w:hint="eastAsia" w:ascii="仿宋" w:hAnsi="仿宋" w:eastAsia="仿宋" w:cs="仿宋"/>
                <w:sz w:val="21"/>
                <w:szCs w:val="21"/>
                <w:lang w:val="zh-CN"/>
              </w:rPr>
              <w:t>.</w:t>
            </w:r>
            <w:r>
              <w:rPr>
                <w:rFonts w:hint="eastAsia" w:ascii="仿宋" w:hAnsi="仿宋" w:eastAsia="仿宋" w:cs="仿宋"/>
                <w:sz w:val="21"/>
                <w:szCs w:val="21"/>
              </w:rPr>
              <w:t>5</w:t>
            </w:r>
            <w:r>
              <w:rPr>
                <w:rFonts w:hint="eastAsia" w:ascii="仿宋" w:hAnsi="仿宋" w:eastAsia="仿宋" w:cs="仿宋"/>
                <w:sz w:val="21"/>
                <w:szCs w:val="21"/>
                <w:lang w:val="zh-CN"/>
              </w:rPr>
              <w:t>学术训练</w:t>
            </w:r>
          </w:p>
          <w:p>
            <w:pPr>
              <w:snapToGrid w:val="0"/>
              <w:rPr>
                <w:rFonts w:hint="eastAsia" w:ascii="仿宋" w:hAnsi="仿宋" w:eastAsia="仿宋" w:cs="仿宋"/>
                <w:sz w:val="21"/>
                <w:szCs w:val="21"/>
                <w:lang w:val="zh-CN"/>
              </w:rPr>
            </w:pP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研究生参与学术训练及科教融合培养研究生成效，包括制度保证、经费支持等。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shd w:val="clear" w:color="auto" w:fill="auto"/>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lang w:val="zh-CN"/>
              </w:rPr>
            </w:pPr>
            <w:r>
              <w:rPr>
                <w:rFonts w:hint="eastAsia" w:ascii="仿宋" w:hAnsi="仿宋" w:eastAsia="仿宋" w:cs="仿宋"/>
                <w:sz w:val="21"/>
                <w:szCs w:val="21"/>
              </w:rPr>
              <w:t>3</w:t>
            </w:r>
            <w:r>
              <w:rPr>
                <w:rFonts w:hint="eastAsia" w:ascii="仿宋" w:hAnsi="仿宋" w:eastAsia="仿宋" w:cs="仿宋"/>
                <w:sz w:val="21"/>
                <w:szCs w:val="21"/>
                <w:lang w:val="zh-CN"/>
              </w:rPr>
              <w:t>.</w:t>
            </w:r>
            <w:r>
              <w:rPr>
                <w:rFonts w:hint="eastAsia" w:ascii="仿宋" w:hAnsi="仿宋" w:eastAsia="仿宋" w:cs="仿宋"/>
                <w:sz w:val="21"/>
                <w:szCs w:val="21"/>
              </w:rPr>
              <w:t>6</w:t>
            </w:r>
            <w:r>
              <w:rPr>
                <w:rFonts w:hint="eastAsia" w:ascii="仿宋" w:hAnsi="仿宋" w:eastAsia="仿宋" w:cs="仿宋"/>
                <w:sz w:val="21"/>
                <w:szCs w:val="21"/>
                <w:lang w:val="zh-CN"/>
              </w:rPr>
              <w:t>学术交流</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研究生参与国际国内学术交流的基本情况。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shd w:val="clear" w:color="auto" w:fill="auto"/>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3.7论文质量</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体现本学科特点的学位论文规范、评阅规则和核查办法的制定及执行情况。本学位点学位论文在各类论文抽检、评审中的情况和论文质量分析。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shd w:val="clear" w:color="auto" w:fill="auto"/>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lang w:val="zh-CN"/>
              </w:rPr>
            </w:pPr>
            <w:r>
              <w:rPr>
                <w:rFonts w:hint="eastAsia" w:ascii="仿宋" w:hAnsi="仿宋" w:eastAsia="仿宋" w:cs="仿宋"/>
                <w:sz w:val="21"/>
                <w:szCs w:val="21"/>
              </w:rPr>
              <w:t>3.8质量保证</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培养全过程监控与质量保证、加强学位论文和学位授予管理、强化指导教师质量管控责任、分流淘汰机制等情况。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shd w:val="clear" w:color="auto" w:fill="auto"/>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3.9学风建设</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本学位点科学道德和学术规范教育开展情况，学术不端行为处理情况。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3.10管理服务</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专职管理人员配备情况，研究生权益保障制度建立情况，在学研究生满意度调查情况等。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3.11就业发展</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本学位点毕业研究生的就业率、就业去向分析，用人单位意见反馈和毕业生发展质量调查情况。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restart"/>
            <w:vAlign w:val="center"/>
          </w:tcPr>
          <w:p>
            <w:pPr>
              <w:snapToGrid w:val="0"/>
              <w:rPr>
                <w:rFonts w:hint="eastAsia" w:ascii="仿宋" w:hAnsi="仿宋" w:eastAsia="仿宋" w:cs="仿宋"/>
                <w:sz w:val="21"/>
                <w:szCs w:val="21"/>
              </w:rPr>
            </w:pPr>
            <w:r>
              <w:rPr>
                <w:rFonts w:hint="eastAsia" w:ascii="仿宋" w:hAnsi="仿宋" w:eastAsia="仿宋" w:cs="仿宋"/>
                <w:sz w:val="21"/>
                <w:szCs w:val="21"/>
              </w:rPr>
              <w:t>4服务贡献</w:t>
            </w: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4.1 科技进步</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科研成果转化、促进科技进步情况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4.2 经济发展</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服务国家和地区经济发展情况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0" w:type="dxa"/>
            <w:vMerge w:val="continue"/>
            <w:vAlign w:val="center"/>
          </w:tcPr>
          <w:p>
            <w:pPr>
              <w:snapToGrid w:val="0"/>
              <w:rPr>
                <w:rFonts w:hint="eastAsia" w:ascii="仿宋" w:hAnsi="仿宋" w:eastAsia="仿宋" w:cs="仿宋"/>
                <w:sz w:val="21"/>
                <w:szCs w:val="21"/>
              </w:rPr>
            </w:pPr>
          </w:p>
        </w:tc>
        <w:tc>
          <w:tcPr>
            <w:tcW w:w="1872"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4.3 文化建设</w:t>
            </w:r>
          </w:p>
        </w:tc>
        <w:tc>
          <w:tcPr>
            <w:tcW w:w="6030" w:type="dxa"/>
            <w:vAlign w:val="center"/>
          </w:tcPr>
          <w:p>
            <w:pPr>
              <w:snapToGrid w:val="0"/>
              <w:rPr>
                <w:rFonts w:hint="eastAsia" w:ascii="仿宋" w:hAnsi="仿宋" w:eastAsia="仿宋" w:cs="仿宋"/>
                <w:sz w:val="21"/>
                <w:szCs w:val="21"/>
              </w:rPr>
            </w:pPr>
            <w:r>
              <w:rPr>
                <w:rFonts w:hint="eastAsia" w:ascii="仿宋" w:hAnsi="仿宋" w:eastAsia="仿宋" w:cs="仿宋"/>
                <w:sz w:val="21"/>
                <w:szCs w:val="21"/>
              </w:rPr>
              <w:t>繁荣和发展社会主义文化情况</w:t>
            </w:r>
          </w:p>
        </w:tc>
      </w:tr>
    </w:tbl>
    <w:p>
      <w:pPr>
        <w:rPr>
          <w:rFonts w:hint="eastAsia" w:ascii="仿宋" w:hAnsi="仿宋" w:eastAsia="仿宋" w:cs="仿宋"/>
          <w:sz w:val="21"/>
          <w:szCs w:val="21"/>
        </w:rPr>
      </w:pPr>
      <w:r>
        <w:rPr>
          <w:rFonts w:hint="eastAsia" w:ascii="仿宋" w:hAnsi="仿宋" w:eastAsia="仿宋" w:cs="仿宋"/>
          <w:sz w:val="21"/>
          <w:szCs w:val="21"/>
        </w:rPr>
        <w:t>注：本抽评要素仅供抽评使用，是教育行政部门评价学位授权点的主要内容。各学科评议组应制定符合本学科特点的具体抽评内容。</w:t>
      </w:r>
    </w:p>
    <w:p>
      <w:pPr>
        <w:pStyle w:val="4"/>
        <w:jc w:val="center"/>
        <w:rPr>
          <w:rFonts w:ascii="Times New Roman" w:hAnsi="Times New Roman" w:cs="Times New Roman"/>
          <w:sz w:val="21"/>
          <w:szCs w:val="21"/>
        </w:rPr>
      </w:pPr>
      <w:r>
        <w:rPr>
          <w:rFonts w:hint="eastAsia" w:ascii="方正公文小标宋" w:hAnsi="方正公文小标宋" w:eastAsia="方正公文小标宋" w:cs="方正公文小标宋"/>
          <w:sz w:val="40"/>
          <w:szCs w:val="40"/>
        </w:rPr>
        <w:t>专业学位授权点抽评要素</w:t>
      </w:r>
    </w:p>
    <w:tbl>
      <w:tblPr>
        <w:tblStyle w:val="8"/>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872"/>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Align w:val="center"/>
          </w:tcPr>
          <w:p>
            <w:pPr>
              <w:snapToGrid w:val="0"/>
              <w:spacing w:line="270" w:lineRule="exact"/>
              <w:jc w:val="center"/>
              <w:rPr>
                <w:rFonts w:hint="eastAsia" w:ascii="仿宋" w:hAnsi="仿宋" w:eastAsia="仿宋" w:cs="仿宋"/>
                <w:b/>
                <w:bCs/>
                <w:sz w:val="28"/>
                <w:szCs w:val="28"/>
              </w:rPr>
            </w:pPr>
            <w:r>
              <w:rPr>
                <w:rFonts w:hint="eastAsia" w:ascii="仿宋" w:hAnsi="仿宋" w:eastAsia="仿宋" w:cs="仿宋"/>
                <w:b/>
                <w:bCs/>
                <w:sz w:val="28"/>
                <w:szCs w:val="28"/>
              </w:rPr>
              <w:t>一级要素</w:t>
            </w:r>
          </w:p>
        </w:tc>
        <w:tc>
          <w:tcPr>
            <w:tcW w:w="1872" w:type="dxa"/>
            <w:vAlign w:val="center"/>
          </w:tcPr>
          <w:p>
            <w:pPr>
              <w:snapToGrid w:val="0"/>
              <w:spacing w:line="270" w:lineRule="exact"/>
              <w:jc w:val="center"/>
              <w:rPr>
                <w:rFonts w:hint="eastAsia" w:ascii="仿宋" w:hAnsi="仿宋" w:eastAsia="仿宋" w:cs="仿宋"/>
                <w:b/>
                <w:bCs/>
                <w:sz w:val="28"/>
                <w:szCs w:val="28"/>
              </w:rPr>
            </w:pPr>
            <w:r>
              <w:rPr>
                <w:rFonts w:hint="eastAsia" w:ascii="仿宋" w:hAnsi="仿宋" w:eastAsia="仿宋" w:cs="仿宋"/>
                <w:b/>
                <w:bCs/>
                <w:sz w:val="28"/>
                <w:szCs w:val="28"/>
              </w:rPr>
              <w:t>二级要素</w:t>
            </w:r>
          </w:p>
        </w:tc>
        <w:tc>
          <w:tcPr>
            <w:tcW w:w="6415" w:type="dxa"/>
            <w:vAlign w:val="center"/>
          </w:tcPr>
          <w:p>
            <w:pPr>
              <w:snapToGrid w:val="0"/>
              <w:spacing w:line="270" w:lineRule="exact"/>
              <w:jc w:val="center"/>
              <w:rPr>
                <w:rFonts w:hint="eastAsia" w:ascii="仿宋" w:hAnsi="仿宋" w:eastAsia="仿宋" w:cs="仿宋"/>
                <w:b/>
                <w:bCs/>
                <w:sz w:val="28"/>
                <w:szCs w:val="28"/>
              </w:rPr>
            </w:pPr>
            <w:r>
              <w:rPr>
                <w:rFonts w:hint="eastAsia" w:ascii="仿宋" w:hAnsi="仿宋" w:eastAsia="仿宋" w:cs="仿宋"/>
                <w:b/>
                <w:bCs/>
                <w:sz w:val="28"/>
                <w:szCs w:val="2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restart"/>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1目标与标准</w:t>
            </w: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1.1培养目标</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本学位点培养研究生的目标定位。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1.2学位标准</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符合本专业学位特点，与本单位办学定位及特色相一致的学位授予质量标准的制定及执行情况。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restart"/>
            <w:vAlign w:val="center"/>
          </w:tcPr>
          <w:p>
            <w:pPr>
              <w:snapToGrid w:val="0"/>
              <w:spacing w:line="270" w:lineRule="exact"/>
              <w:rPr>
                <w:rFonts w:hint="eastAsia" w:ascii="仿宋" w:hAnsi="仿宋" w:eastAsia="仿宋" w:cs="仿宋"/>
              </w:rPr>
            </w:pPr>
          </w:p>
          <w:p>
            <w:pPr>
              <w:spacing w:line="270" w:lineRule="exact"/>
              <w:rPr>
                <w:rFonts w:hint="eastAsia" w:ascii="仿宋" w:hAnsi="仿宋" w:eastAsia="仿宋" w:cs="仿宋"/>
              </w:rPr>
            </w:pPr>
            <w:r>
              <w:rPr>
                <w:rFonts w:hint="eastAsia" w:ascii="仿宋" w:hAnsi="仿宋" w:eastAsia="仿宋" w:cs="仿宋"/>
                <w:sz w:val="21"/>
                <w:szCs w:val="21"/>
              </w:rPr>
              <w:t>2基本条件</w:t>
            </w: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2.1培养特色</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本学位点的主要培养特色简介。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vAlign w:val="center"/>
          </w:tcPr>
          <w:p>
            <w:pPr>
              <w:spacing w:line="270" w:lineRule="exact"/>
              <w:rPr>
                <w:rFonts w:hint="eastAsia" w:ascii="仿宋" w:hAnsi="仿宋" w:eastAsia="仿宋" w:cs="仿宋"/>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2.2师资队伍</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骨干教师及师资队伍规模、结构情况，包括专任教师及行业教师情况。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2.3科学研究</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本学位点近5年已完成的主要应用性科研成果或科研项目情况。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2.4教学科研支撑</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本学位点支撑研究生案例教学、实践教学的软硬件设施，联合培养基地建设情况。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zh-CN"/>
              </w:rPr>
              <w:t>.</w:t>
            </w:r>
            <w:r>
              <w:rPr>
                <w:rFonts w:hint="eastAsia" w:ascii="仿宋" w:hAnsi="仿宋" w:eastAsia="仿宋" w:cs="仿宋"/>
                <w:sz w:val="21"/>
                <w:szCs w:val="21"/>
              </w:rPr>
              <w:t>5</w:t>
            </w:r>
            <w:r>
              <w:rPr>
                <w:rFonts w:hint="eastAsia" w:ascii="仿宋" w:hAnsi="仿宋" w:eastAsia="仿宋" w:cs="仿宋"/>
                <w:sz w:val="21"/>
                <w:szCs w:val="21"/>
                <w:lang w:val="zh-CN"/>
              </w:rPr>
              <w:t>奖助体系</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本学位点研究生奖助体系的制度建设、奖助水平、覆盖面等情况。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restart"/>
            <w:shd w:val="clear" w:color="auto" w:fill="auto"/>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3人才培养</w:t>
            </w: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zh-CN"/>
              </w:rPr>
              <w:t>.1招生选拔</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lang w:val="zh-CN"/>
              </w:rPr>
              <w:t>学位授权点研究生报考数量、录取比例、录取人数、生源结构情况，符合专业学位特点的招生选拔机制，以及为保证生源质量采取的措施。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shd w:val="clear" w:color="auto" w:fill="auto"/>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3.2思政教育</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思想政治理论课开设、课程思政、研究生辅导员队伍建设、研究生党建工作等情况。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shd w:val="clear" w:color="auto" w:fill="auto"/>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zh-CN"/>
              </w:rPr>
              <w:t>.</w:t>
            </w:r>
            <w:r>
              <w:rPr>
                <w:rFonts w:hint="eastAsia" w:ascii="仿宋" w:hAnsi="仿宋" w:eastAsia="仿宋" w:cs="仿宋"/>
                <w:sz w:val="21"/>
                <w:szCs w:val="21"/>
              </w:rPr>
              <w:t>3</w:t>
            </w:r>
            <w:r>
              <w:rPr>
                <w:rFonts w:hint="eastAsia" w:ascii="仿宋" w:hAnsi="仿宋" w:eastAsia="仿宋" w:cs="仿宋"/>
                <w:sz w:val="21"/>
                <w:szCs w:val="21"/>
                <w:lang w:val="zh-CN"/>
              </w:rPr>
              <w:t>课程教学</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本学位点开设的核心课程及主讲教师。课程教学质量和持续改进机制，教材建设情况。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shd w:val="clear" w:color="auto" w:fill="auto"/>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zh-CN"/>
              </w:rPr>
              <w:t>.</w:t>
            </w:r>
            <w:r>
              <w:rPr>
                <w:rFonts w:hint="eastAsia" w:ascii="仿宋" w:hAnsi="仿宋" w:eastAsia="仿宋" w:cs="仿宋"/>
                <w:sz w:val="21"/>
                <w:szCs w:val="21"/>
              </w:rPr>
              <w:t>4</w:t>
            </w:r>
            <w:r>
              <w:rPr>
                <w:rFonts w:hint="eastAsia" w:ascii="仿宋" w:hAnsi="仿宋" w:eastAsia="仿宋" w:cs="仿宋"/>
                <w:sz w:val="21"/>
                <w:szCs w:val="21"/>
                <w:lang w:val="zh-CN"/>
              </w:rPr>
              <w:t>导师指导</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导师队伍的选聘、培训、考核情况，</w:t>
            </w:r>
            <w:r>
              <w:rPr>
                <w:rFonts w:hint="eastAsia" w:ascii="仿宋" w:hAnsi="仿宋" w:eastAsia="仿宋" w:cs="仿宋"/>
                <w:color w:val="000000"/>
                <w:sz w:val="21"/>
                <w:szCs w:val="21"/>
              </w:rPr>
              <w:t>行业产业导师选聘，研究生双导师制</w:t>
            </w:r>
            <w:r>
              <w:rPr>
                <w:rFonts w:hint="eastAsia" w:ascii="仿宋" w:hAnsi="仿宋" w:eastAsia="仿宋" w:cs="仿宋"/>
                <w:sz w:val="21"/>
                <w:szCs w:val="21"/>
              </w:rPr>
              <w:t>情况</w:t>
            </w:r>
            <w:r>
              <w:rPr>
                <w:rFonts w:hint="eastAsia" w:ascii="仿宋" w:hAnsi="仿宋" w:eastAsia="仿宋" w:cs="仿宋"/>
                <w:color w:val="000000"/>
                <w:sz w:val="21"/>
                <w:szCs w:val="21"/>
              </w:rPr>
              <w:t>。</w:t>
            </w:r>
            <w:r>
              <w:rPr>
                <w:rFonts w:hint="eastAsia" w:ascii="仿宋" w:hAnsi="仿宋" w:eastAsia="仿宋" w:cs="仿宋"/>
                <w:sz w:val="21"/>
                <w:szCs w:val="21"/>
              </w:rPr>
              <w:t>导师指导研究生的制度要求和执行情况，博士生导师岗位管理制度建设和落实情况。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shd w:val="clear" w:color="auto" w:fill="auto"/>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lang w:val="zh-CN"/>
              </w:rPr>
            </w:pPr>
            <w:r>
              <w:rPr>
                <w:rFonts w:hint="eastAsia" w:ascii="仿宋" w:hAnsi="仿宋" w:eastAsia="仿宋" w:cs="仿宋"/>
                <w:sz w:val="21"/>
                <w:szCs w:val="21"/>
              </w:rPr>
              <w:t>3</w:t>
            </w:r>
            <w:r>
              <w:rPr>
                <w:rFonts w:hint="eastAsia" w:ascii="仿宋" w:hAnsi="仿宋" w:eastAsia="仿宋" w:cs="仿宋"/>
                <w:sz w:val="21"/>
                <w:szCs w:val="21"/>
                <w:lang w:val="zh-CN"/>
              </w:rPr>
              <w:t>.</w:t>
            </w:r>
            <w:r>
              <w:rPr>
                <w:rFonts w:hint="eastAsia" w:ascii="仿宋" w:hAnsi="仿宋" w:eastAsia="仿宋" w:cs="仿宋"/>
                <w:sz w:val="21"/>
                <w:szCs w:val="21"/>
              </w:rPr>
              <w:t>5</w:t>
            </w:r>
            <w:r>
              <w:rPr>
                <w:rFonts w:hint="eastAsia" w:ascii="仿宋" w:hAnsi="仿宋" w:eastAsia="仿宋" w:cs="仿宋"/>
                <w:sz w:val="21"/>
                <w:szCs w:val="21"/>
                <w:lang w:val="zh-CN"/>
              </w:rPr>
              <w:t>实践教学</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专业学位研究生参与实践教学，产教融合培养研究生成效，包括制度保证、经费支持，行业企业参与人才培养情况等。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shd w:val="clear" w:color="auto" w:fill="auto"/>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lang w:val="zh-CN"/>
              </w:rPr>
            </w:pPr>
            <w:r>
              <w:rPr>
                <w:rFonts w:hint="eastAsia" w:ascii="仿宋" w:hAnsi="仿宋" w:eastAsia="仿宋" w:cs="仿宋"/>
                <w:sz w:val="21"/>
                <w:szCs w:val="21"/>
              </w:rPr>
              <w:t>3</w:t>
            </w:r>
            <w:r>
              <w:rPr>
                <w:rFonts w:hint="eastAsia" w:ascii="仿宋" w:hAnsi="仿宋" w:eastAsia="仿宋" w:cs="仿宋"/>
                <w:sz w:val="21"/>
                <w:szCs w:val="21"/>
                <w:lang w:val="zh-CN"/>
              </w:rPr>
              <w:t>.</w:t>
            </w:r>
            <w:r>
              <w:rPr>
                <w:rFonts w:hint="eastAsia" w:ascii="仿宋" w:hAnsi="仿宋" w:eastAsia="仿宋" w:cs="仿宋"/>
                <w:sz w:val="21"/>
                <w:szCs w:val="21"/>
              </w:rPr>
              <w:t>6</w:t>
            </w:r>
            <w:r>
              <w:rPr>
                <w:rFonts w:hint="eastAsia" w:ascii="仿宋" w:hAnsi="仿宋" w:eastAsia="仿宋" w:cs="仿宋"/>
                <w:sz w:val="21"/>
                <w:szCs w:val="21"/>
                <w:lang w:val="zh-CN"/>
              </w:rPr>
              <w:t>学术交流</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研究生参与国际国内学术交流的基本情况。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shd w:val="clear" w:color="auto" w:fill="auto"/>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3.7论文质量</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体现本专业学位特点的学位论文类型（如调研报告、规划设计、产品开发、案例分析、项目管理、艺术作品等）规范、评阅规则和核查办法的制定及执行情况，强化专业学位论文应用导向的情况。本学位点学位论文在各类论文抽检、评审中的情况和论文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shd w:val="clear" w:color="auto" w:fill="auto"/>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lang w:val="zh-CN"/>
              </w:rPr>
            </w:pPr>
            <w:r>
              <w:rPr>
                <w:rFonts w:hint="eastAsia" w:ascii="仿宋" w:hAnsi="仿宋" w:eastAsia="仿宋" w:cs="仿宋"/>
                <w:sz w:val="21"/>
                <w:szCs w:val="21"/>
              </w:rPr>
              <w:t>3.8质量保证</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培养全过程监控与质量保证、学位论文和学位授予管理、强化指导教师质量管控责任、分流淘汰机制等情况。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shd w:val="clear" w:color="auto" w:fill="auto"/>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3.9学风建设</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本学位点科学道德和学术规范教育开展情况，学术不端行为处理情况。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3.10管理服务</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专职管理人员配备，研究生权益保障制度，在学研究生满意度调查情况等。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3.11就业发展</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本学位点人才需求与就业动态反馈机制建立情况，人才需求和就业状况报告发布情况，用人单位意见反馈和毕业生发展质量调查情况。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restart"/>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4服务贡献</w:t>
            </w: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4.1 科技进步</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科研成果转化、促进科技进步情况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4.2 经济发展</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服务国家和地区经济发展情况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90" w:type="dxa"/>
            <w:vMerge w:val="continue"/>
            <w:vAlign w:val="center"/>
          </w:tcPr>
          <w:p>
            <w:pPr>
              <w:snapToGrid w:val="0"/>
              <w:spacing w:line="270" w:lineRule="exact"/>
              <w:rPr>
                <w:rFonts w:hint="eastAsia" w:ascii="仿宋" w:hAnsi="仿宋" w:eastAsia="仿宋" w:cs="仿宋"/>
                <w:sz w:val="21"/>
                <w:szCs w:val="21"/>
              </w:rPr>
            </w:pPr>
          </w:p>
        </w:tc>
        <w:tc>
          <w:tcPr>
            <w:tcW w:w="1872"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4.3 文化建设</w:t>
            </w:r>
          </w:p>
        </w:tc>
        <w:tc>
          <w:tcPr>
            <w:tcW w:w="6415" w:type="dxa"/>
            <w:vAlign w:val="center"/>
          </w:tcPr>
          <w:p>
            <w:pPr>
              <w:snapToGrid w:val="0"/>
              <w:spacing w:line="270" w:lineRule="exact"/>
              <w:rPr>
                <w:rFonts w:hint="eastAsia" w:ascii="仿宋" w:hAnsi="仿宋" w:eastAsia="仿宋" w:cs="仿宋"/>
                <w:sz w:val="21"/>
                <w:szCs w:val="21"/>
              </w:rPr>
            </w:pPr>
            <w:r>
              <w:rPr>
                <w:rFonts w:hint="eastAsia" w:ascii="仿宋" w:hAnsi="仿宋" w:eastAsia="仿宋" w:cs="仿宋"/>
                <w:sz w:val="21"/>
                <w:szCs w:val="21"/>
              </w:rPr>
              <w:t>繁荣和发展社会主义文化情况</w:t>
            </w:r>
          </w:p>
        </w:tc>
      </w:tr>
    </w:tbl>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仿宋"/>
          <w:lang w:eastAsia="zh-CN"/>
        </w:rPr>
      </w:pPr>
      <w:r>
        <w:rPr>
          <w:rFonts w:hint="eastAsia" w:ascii="仿宋" w:hAnsi="仿宋" w:eastAsia="仿宋" w:cs="仿宋"/>
          <w:sz w:val="21"/>
          <w:szCs w:val="21"/>
        </w:rPr>
        <w:t>注：本抽评要素仅供抽评使用，是教育行政部门评价学位授权点的主要内容。各专业学位教指委应制定符合本专业学位类别特点的具体抽评内容</w:t>
      </w:r>
      <w:r>
        <w:rPr>
          <w:rFonts w:hint="eastAsia" w:ascii="仿宋" w:hAnsi="仿宋" w:eastAsia="仿宋" w:cs="仿宋"/>
          <w:lang w:eastAsia="zh-CN"/>
        </w:rPr>
        <w:t>。</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0F6BE2-E86D-44C6-B35E-1D05307F42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2C3CED3-ED03-42D4-B031-AA653A4E7664}"/>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99D580E3-762E-4A83-87AA-F49A629A6AEE}"/>
  </w:font>
  <w:font w:name="方正公文小标宋">
    <w:panose1 w:val="02000500000000000000"/>
    <w:charset w:val="86"/>
    <w:family w:val="auto"/>
    <w:pitch w:val="default"/>
    <w:sig w:usb0="A00002BF" w:usb1="38CF7CFA" w:usb2="00000016" w:usb3="00000000" w:csb0="00040001" w:csb1="00000000"/>
    <w:embedRegular r:id="rId4" w:fontKey="{A953B818-9474-4DAD-831E-2A11120014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jc w:val="both"/>
      <w:textAlignment w:val="baseline"/>
      <w:rPr>
        <w:rStyle w:val="17"/>
        <w:rFonts w:ascii="Times New Roman" w:hAnsi="Times New Roman" w:eastAsia="宋体"/>
        <w:sz w:val="28"/>
        <w:szCs w:val="28"/>
      </w:rPr>
    </w:pPr>
  </w:p>
  <w:p>
    <w:pPr>
      <w:pStyle w:val="5"/>
      <w:widowControl/>
      <w:jc w:val="center"/>
      <w:textAlignment w:val="baseline"/>
      <w:rPr>
        <w:rStyle w:val="17"/>
        <w:rFonts w:ascii="Times New Roman" w:hAnsi="Times New Roman" w:eastAsia="宋体"/>
        <w:sz w:val="28"/>
        <w:szCs w:val="28"/>
      </w:rPr>
    </w:pPr>
    <w:r>
      <w:rPr>
        <w:rStyle w:val="17"/>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AyMoZDzAEAAJgDAAAOAAAAAAAAAAEAIAAAACEBAABkcnMv&#10;ZTJvRG9jLnhtbFBLBQYAAAAABgAGAFkBAABfBQAAAAA=&#10;">
              <v:fill on="f" focussize="0,0"/>
              <v:stroke on="f" weight="1.25pt"/>
              <v:imagedata o:title=""/>
              <o:lock v:ext="edit" aspectratio="f"/>
              <v:textbox inset="0mm,0mm,0mm,0mm">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TMwODJmZGZmNjAxYjhjMTEyMGIxOTdlNjljNTAifQ=="/>
  </w:docVars>
  <w:rsids>
    <w:rsidRoot w:val="00D94DEB"/>
    <w:rsid w:val="0000504C"/>
    <w:rsid w:val="00072396"/>
    <w:rsid w:val="002F4243"/>
    <w:rsid w:val="00453565"/>
    <w:rsid w:val="007852C0"/>
    <w:rsid w:val="00826D16"/>
    <w:rsid w:val="00847495"/>
    <w:rsid w:val="00C9023B"/>
    <w:rsid w:val="00CA0F2A"/>
    <w:rsid w:val="00D827DA"/>
    <w:rsid w:val="00D94DEB"/>
    <w:rsid w:val="00DA77BC"/>
    <w:rsid w:val="00E53D40"/>
    <w:rsid w:val="05235D34"/>
    <w:rsid w:val="06A20A39"/>
    <w:rsid w:val="07D53257"/>
    <w:rsid w:val="08D12F00"/>
    <w:rsid w:val="0B3049D6"/>
    <w:rsid w:val="0B692FE1"/>
    <w:rsid w:val="0C480258"/>
    <w:rsid w:val="0CD00F0A"/>
    <w:rsid w:val="0EBD0E70"/>
    <w:rsid w:val="0F712BB6"/>
    <w:rsid w:val="102354BF"/>
    <w:rsid w:val="121A010C"/>
    <w:rsid w:val="16F83C72"/>
    <w:rsid w:val="1CC25C22"/>
    <w:rsid w:val="1E501745"/>
    <w:rsid w:val="2615531D"/>
    <w:rsid w:val="27A929FE"/>
    <w:rsid w:val="2C21126A"/>
    <w:rsid w:val="2C752F1C"/>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Hyperlink"/>
    <w:basedOn w:val="10"/>
    <w:qFormat/>
    <w:uiPriority w:val="0"/>
    <w:rPr>
      <w:color w:val="0000FF"/>
      <w:u w:val="none"/>
    </w:rPr>
  </w:style>
  <w:style w:type="character" w:customStyle="1" w:styleId="15">
    <w:name w:val="hover21"/>
    <w:basedOn w:val="10"/>
    <w:qFormat/>
    <w:uiPriority w:val="0"/>
    <w:rPr>
      <w:color w:val="557EE7"/>
    </w:rPr>
  </w:style>
  <w:style w:type="paragraph" w:customStyle="1" w:styleId="16">
    <w:name w:val="彩色列表 - 强调文字颜色 11"/>
    <w:basedOn w:val="1"/>
    <w:qFormat/>
    <w:uiPriority w:val="0"/>
    <w:pPr>
      <w:ind w:firstLine="420" w:firstLineChars="200"/>
    </w:pPr>
    <w:rPr>
      <w:rFonts w:ascii="Cambria" w:hAnsi="Cambria"/>
      <w:szCs w:val="22"/>
    </w:rPr>
  </w:style>
  <w:style w:type="character" w:customStyle="1" w:styleId="17">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18">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1845</Characters>
  <Lines>15</Lines>
  <Paragraphs>4</Paragraphs>
  <TotalTime>2</TotalTime>
  <ScaleCrop>false</ScaleCrop>
  <LinksUpToDate>false</LinksUpToDate>
  <CharactersWithSpaces>2164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2021-01-15T05:43:00Z</dcterms:created>
  <dc:creator>XWB</dc:creator>
  <cp:lastModifiedBy>卢逸</cp:lastModifiedBy>
  <cp:lastPrinted>2020-11-20T03:24:00Z</cp:lastPrinted>
  <dcterms:modified xsi:type="dcterms:W3CDTF">2023-12-26T09:54:57Z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A2714A7FE85F4CABB30555D426ED9AC4_12</vt:lpwstr>
  </property>
</Properties>
</file>